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Body"/>
        <w:jc w:val="center"/>
      </w:pPr>
      <w:r>
        <w:rPr>
          <w:rtl w:val="0"/>
          <w:lang w:val="en-US"/>
        </w:rPr>
        <w:t>A Level Geography Itinerary to Platja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Aro, Costa Brava, Spain.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Geofieldwork Ltd and SunSports Tours and Tournaments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Geofieldwork Ltd - Barry Cullimore. 07496 737066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"mailto:office@geofieldworkltd.com"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office@geofieldworkltd.com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SunSports Tours and Tournaments - James Langdon-Davies. 0034 650 930 517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"mailto:info@sunsports-spain.com"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info@sunsports-spain.com</w:t>
      </w:r>
      <w:r>
        <w:rPr/>
        <w:fldChar w:fldCharType="end" w:fldLock="0"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Day One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Arrival / Bournemouth or Girona airport and airport transfer OR direct coach travel from UK.</w:t>
      </w:r>
    </w:p>
    <w:p>
      <w:pPr>
        <w:pStyle w:val="Body"/>
      </w:pPr>
      <w:r>
        <w:rPr>
          <w:rtl w:val="0"/>
          <w:lang w:val="en-US"/>
        </w:rPr>
        <w:t>Settle into the hotel in Platja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Aro. Evening Meal. Walk to the beach and some short, fun familiarisation activities on the beach including some basic Spanish language!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Day Two - Coastal Processes, Landforms and Management.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AM - walk from Platja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Aro to Sant Antoni de Calonge studying a wide range of coastal processes and erosional and depositional landforms.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Skills covered include field sketching, sampling strategies, qualitative and quantitative data collection.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Lunch - visit a supermarket or cafe in Sant Antoni.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PM - studying coastal management along the seafront of Sant Antoni de Calonge.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Skills covered include sampling strategies, field sketching and sketch maps, quantitative data collection, GIS.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Coach journey back to hotel.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meal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session for one hour to collate, analyse and conclude the coastal management study.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Day Three - Urban Regeneration Case Study in Girona, the Capital of Catalonia.</w:t>
      </w: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AM - coach to Girona. In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720993</wp:posOffset>
                </wp:positionH>
                <wp:positionV relativeFrom="page">
                  <wp:posOffset>1037529</wp:posOffset>
                </wp:positionV>
                <wp:extent cx="6118069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06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6.8pt;margin-top:81.7pt;width:481.7pt;height:0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2818256</wp:posOffset>
            </wp:positionH>
            <wp:positionV relativeFrom="page">
              <wp:posOffset>450000</wp:posOffset>
            </wp:positionV>
            <wp:extent cx="1923544" cy="516659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SC0460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44" cy="516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itial exploration and introduction to the history of Girona. Fieldwork studying urban regeneration in the Old Quarter in the 1990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and early 2000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s. Skills covered will include sampling strategies, qualitative and quantitative data collection.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Lunch - visit a supermarket or cafe in the Old Quarter.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PM - Game of Thrones tour and studying how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set-jetting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leading to further economic and cultural regeneration in Girona. (Girona was used to film the Kings Landing and Braavos scenes in GOT)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Coach journey back to Hotel.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meal.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session for one hour to collate, analyse and conclude study.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Day Four - Sand Dune Ecosystems and Tectonic Hazards.</w:t>
      </w:r>
    </w:p>
    <w:p>
      <w:pPr>
        <w:pStyle w:val="Body"/>
        <w:rPr>
          <w:b w:val="0"/>
          <w:bCs w:val="0"/>
        </w:rPr>
      </w:pP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AM - early breakfast and coach to Olot, walking tour around Croscat Volcano and a visit to the quarry to study the geology of the volcano. Visit to the town of Olot and the Volcano Visitor Centre.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Lunch - visit a supermarket or cafe in Olot.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PM - coach departs Olot and stops at Sant Joan les Fonts. Short walking tour to see the lava flows and exposures of columnar basalt in the river valley.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Coach continue to Gola de Ter, near Toroella de Montgri. Short study of sand dune succession and management.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Coach journey back to hotel.</w:t>
      </w:r>
    </w:p>
    <w:p>
      <w:pPr>
        <w:pStyle w:val="Body"/>
        <w:numPr>
          <w:ilvl w:val="0"/>
          <w:numId w:val="3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Evening meal.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Evening session for one hour to use ARCGIS to do a virtual volcanic hazard mapping exercise.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Day Five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Depart Platja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Aro - coach back to Airport. Optional waterpark / tour of Barcelona City / Football Stadium (additional costs)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Body"/>
        <w:jc w:val="left"/>
      </w:pPr>
    </w:p>
    <w:p>
      <w:pPr>
        <w:pStyle w:val="Body"/>
        <w:jc w:val="lef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13474</wp:posOffset>
                </wp:positionH>
                <wp:positionV relativeFrom="page">
                  <wp:posOffset>949365</wp:posOffset>
                </wp:positionV>
                <wp:extent cx="6118508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508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1pt;margin-top:74.8pt;width:481.8pt;height:0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line>
            </w:pict>
          </mc:Fallback>
        </mc:AlternateConten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</w:pPr>
      <w:r>
        <w:rPr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2091906</wp:posOffset>
            </wp:positionH>
            <wp:positionV relativeFrom="page">
              <wp:posOffset>203341</wp:posOffset>
            </wp:positionV>
            <wp:extent cx="1923544" cy="5166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SC04605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44" cy="516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07496 737066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</w:r>
    <w:r>
      <w:rPr>
        <w:sz w:val="16"/>
        <w:szCs w:val="16"/>
        <w:rtl w:val="0"/>
        <w:lang w:val="en-US"/>
      </w:rPr>
      <w:t xml:space="preserve">Registered company number  11239894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Style w:val="Hyperlink.0"/>
        <w:rFonts w:ascii="Arial" w:hAnsi="Arial"/>
      </w:rPr>
      <w:fldChar w:fldCharType="begin" w:fldLock="0"/>
    </w:r>
    <w:r>
      <w:rPr>
        <w:rStyle w:val="Hyperlink.0"/>
        <w:rFonts w:ascii="Arial" w:hAnsi="Arial"/>
      </w:rPr>
      <w:instrText xml:space="preserve"> HYPERLINK "http://www.geofieldworkltd.com"</w:instrText>
    </w:r>
    <w:r>
      <w:rPr>
        <w:rStyle w:val="Hyperlink.0"/>
        <w:rFonts w:ascii="Arial" w:hAnsi="Arial"/>
      </w:rPr>
      <w:fldChar w:fldCharType="separate" w:fldLock="0"/>
    </w:r>
    <w:r>
      <w:rPr>
        <w:rStyle w:val="Hyperlink.0"/>
        <w:rFonts w:ascii="Arial" w:hAnsi="Arial"/>
        <w:rtl w:val="0"/>
        <w:lang w:val="en-US"/>
      </w:rPr>
      <w:t>www.geofieldworkltd.com</w:t>
    </w:r>
    <w:r>
      <w:rPr>
        <w:rFonts w:ascii="Arial" w:cs="Arial" w:hAnsi="Arial" w:eastAsia="Arial"/>
      </w:rPr>
      <w:fldChar w:fldCharType="end" w:fldLock="0"/>
    </w:r>
    <w:r>
      <w:rPr>
        <w:rFonts w:ascii="Arial" w:cs="Arial" w:hAnsi="Arial" w:eastAsia="Arial"/>
      </w:rPr>
      <w:tab/>
      <w:tab/>
    </w:r>
    <w:r>
      <w:rPr>
        <w:rStyle w:val="Hyperlink.1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fldChar w:fldCharType="begin" w:fldLock="0"/>
    </w:r>
    <w:r>
      <w:rPr>
        <w:rStyle w:val="Hyperlink.1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instrText xml:space="preserve"> HYPERLINK "mailto:office@geofieldworkltd.com"</w:instrText>
    </w:r>
    <w:r>
      <w:rPr>
        <w:rStyle w:val="Hyperlink.1"/>
        <w:rFonts w:ascii="Helvetica Neue" w:cs="Helvetica Neue" w:hAnsi="Helvetica Neue" w:eastAsia="Helvetica Neue"/>
        <w:b w:val="0"/>
        <w:bCs w:val="0"/>
        <w:i w:val="0"/>
        <w:iCs w:val="0"/>
        <w:u w:val="single"/>
      </w:rPr>
      <w:fldChar w:fldCharType="separate" w:fldLock="0"/>
    </w:r>
    <w:r>
      <w:rPr>
        <w:rStyle w:val="Hyperlink.1"/>
        <w:rFonts w:ascii="Helvetica Neue" w:cs="Arial Unicode MS" w:hAnsi="Helvetica Neue" w:eastAsia="Arial Unicode MS"/>
        <w:b w:val="0"/>
        <w:bCs w:val="0"/>
        <w:i w:val="0"/>
        <w:iCs w:val="0"/>
        <w:u w:val="single"/>
        <w:rtl w:val="0"/>
        <w:lang w:val="en-US"/>
      </w:rPr>
      <w:t>office@geofieldworkltd.com</w:t>
    </w:r>
    <w:r>
      <w:rPr>
        <w:rFonts w:ascii="Arial" w:cs="Arial" w:hAnsi="Arial" w:eastAsia="Arial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rFonts w:ascii="Helvetica Neue" w:cs="Helvetica Neue" w:hAnsi="Helvetica Neue" w:eastAsia="Helvetica Neue"/>
      <w:b w:val="0"/>
      <w:bCs w:val="0"/>
      <w:i w:val="0"/>
      <w:iCs w:val="0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